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石龙区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人民政府关于 2019 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区本级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预算执行和其他财政收支审计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查出问题整改情况的报告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今年 8 月，区第五届人大常委会第26次会议听取了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政府《关于2019 年度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区本级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预算执行和其他财政收支的审计工作报告》，会后人大常委会提出审议意见，要求围绕扎实做好“六稳六保”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任务开展审计监督，加强政策落实情况跟踪审计，加大对专项资金绩效和政策执行的审计监督力度。同时，要加强对审计查出突出问题的原因分析，从体制机制上提出整改措施，从根源上解决审计查出的突出问题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建立健全长效机制。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区政府高度</w:t>
      </w:r>
      <w:r>
        <w:rPr>
          <w:rFonts w:hint="eastAsia" w:ascii="仿宋_GB2312" w:hAnsi="仿宋_GB2312" w:eastAsia="仿宋_GB2312" w:cs="仿宋_GB2312"/>
          <w:sz w:val="32"/>
          <w:szCs w:val="32"/>
        </w:rPr>
        <w:t>重视审计整改工作，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主要领导亲自部署安排，并要求各部门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积极支持配合审计工作，自觉接受审计监督，认真整改存在问题，切实履行审计整改主体责任。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一、审计整改工作部署推进情况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区委区政府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高度重视审计问题整改工作。常务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副区长</w:t>
      </w:r>
      <w:r>
        <w:rPr>
          <w:rFonts w:hint="eastAsia" w:ascii="仿宋_GB2312" w:hAnsi="仿宋_GB2312" w:eastAsia="仿宋_GB2312" w:cs="仿宋_GB2312"/>
          <w:sz w:val="32"/>
          <w:szCs w:val="32"/>
        </w:rPr>
        <w:t>多次听取汇报，召开会议，推动工作，明确提出：要充分调动各单位重视审计整改、狠抓审计整改、推动审计整改取得实效的积极性和主动性，为我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经济社会健康发展保驾护航。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二是审计机关加大跟踪督办力度。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审计局认真落实市人大常委会要求，积极推进跟踪监督工作，对照《审计工作报告》反映的问题逐一建立整改台账，对责任部门单位要求及时梳理涉及的问题整改清单、落实责任到人、尽快完成整改。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三是注重建立长效机制。通过召开审计整改联席会议，完善了审计整改报告制度、跟踪检查制度和责任追究制度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进一步建立健全审计结果利用机制。通过与纪检、监察、财政、公安等部门建立协作配合机制，谋求联动效应，从源头上推进审计整改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不断提升审计整改工作效率。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是被审计单位认真落实整改主体责任。有关部门单位十分重视审计整改，指定负责人、成立专门工作小组具体跟进、督促，落实整改责任和整改措施；同时，积极从政府层面统筹协调，组织对涉及机制、制度层面的问题进行深入研究，推动完善制度，使审计发现问题从根源上得到整改落实，减少屡审屡犯问题的发生，整改的力度和效果明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二、审计发现问题整改情况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（一）财政预算执行审计发现问题的整改情况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部分预算未执行，未形成实际支出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问题的整改情况（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财政总预算会计2019年下达的一般公共预算支出有17856.33万元未形成实际支出，基金预算支出有1711.44万元未形成实际支出，合计19567.77万元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区财政局</w:t>
      </w:r>
      <w:r>
        <w:rPr>
          <w:rFonts w:hint="eastAsia" w:ascii="仿宋_GB2312" w:hAnsi="仿宋_GB2312" w:eastAsia="仿宋_GB2312" w:cs="仿宋_GB2312"/>
          <w:sz w:val="32"/>
          <w:szCs w:val="32"/>
        </w:rPr>
        <w:t>印发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</w:rPr>
        <w:t>平龙财〔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</w:rPr>
        <w:t>〕25号《关于盘活财政存量资金的通知》，平龙纪联发〔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</w:rPr>
        <w:t>〕1号《关于开展各类存量资金专项清理整治工作的实施方案》，对结转结余资金预算未执行的项目进行了专项清理，收回各类财政存量资金。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今后区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财政局将加强预算资金统筹安排力度，督促各部门提前研究谋划下一年度工作，及早做好项目评审论证，资金需求测算等基础性工作，进一步优化支出结构，提高预算安排科学性，确保财政资金高效使用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应缴未缴预算收入18.72万元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问题的整改情况。区财政局已将资金18.72万元及时缴入国库。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个别预算未细化到使用单位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问题的整改情况（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财政总预算年初预算安排经济建设资金600万元，未细化到项目或使用单位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财政局将结合 2021 年预算编制情况，加强与资金使用部门沟通，层层推进预算安排工作，采取基础工作前移等措施，进一步细化预算编制，明确今后按照《中华人民共和国预算法》的要求，加强预算编制管理。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4.部分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资金到位晚，项目无法实施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问题的整改情况（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财政总预算2019年12月29日拨付区科技局科技项目资金760万元，因资金到位晚，项目当年无法实施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财政局完善了预算项目绩效考核的相关制度，明确今后按照《中华人民共和国预算法》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《关于进一步加强财政支出预算执行管理的通知》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资金拨付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进度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提高项目资金使用效率。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部分项目未实行财政资金绩效评价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问题的整改情况（</w:t>
      </w:r>
      <w:r>
        <w:rPr>
          <w:rFonts w:hint="eastAsia" w:ascii="仿宋_GB2312" w:hAnsi="仿宋_GB2312" w:eastAsia="仿宋_GB2312" w:cs="仿宋_GB2312"/>
          <w:sz w:val="32"/>
          <w:szCs w:val="32"/>
        </w:rPr>
        <w:t>独立工矿区搬迁安置社区渠道治理及生态修复项目，2019年支出432万元，未按照全面实施预算绩效管理的工作要求实行财政资金绩效评价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财政局将在 2021 年部门预算编制阶段，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对项目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开展预算立项评审，将绩效目标编制与预算资金审核直接衔接起来，同步审核目标与预算金额，将绩效目标与预算额度直接联系起来，推动预算部门和单位提升绩效目标、绩效指标和评价标准的编制水平，将绩效目标评审结果作为预算安排的重要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地方政府债券发行使用管理情况审计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发现问题的整改情况。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部分新增债券资金未及时形成实物工作量，涉及资金1500万元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的问题，区政府已协调各相关部门加快了项目的推进力度，债券资金已支付。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第三期学前教育行动计划落实情况专项审计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发现问题的整改情况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截至2019年12月，石龙区教体局未完成“每个县（市、区）至少举办3所标准化公办幼儿园”的目标任务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的整改情况。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区政府紧急召集教育、国源水务等部门召开专题会议研究解决，并以区长办公会议纪要下发到相关单位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经加紧施工，对影响幼儿园施工的</w:t>
      </w:r>
      <w:r>
        <w:rPr>
          <w:rFonts w:hint="eastAsia" w:ascii="仿宋_GB2312" w:hAnsi="仿宋_GB2312" w:eastAsia="仿宋_GB2312" w:cs="仿宋_GB2312"/>
          <w:sz w:val="32"/>
          <w:szCs w:val="32"/>
        </w:rPr>
        <w:t>饮水管网已改造到位，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幼儿园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项目正在加紧推进。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截至2019年12月，石龙区教体局未完成“85%幼儿园达到省定基本办园标准”的目标任务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问题的整改情况。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2020年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暑假的改造、整顿，园长的培训提升，现在基本达到省定标准的85%以上。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、下一步工作措施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一是提高政治站位。深入学习贯彻习近平总书记对审计工作“治已病 防未病”的重要指示精神，把审计整改作为一项严肃的政治任务，作为树牢“四个意识”、坚定“四个自信”、做到“两个维护”的重要标尺，切实扛起政治担当、历史担当、责任担当，认真抓好问题整改。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是充分发挥审计整改的联动机制。提高审计整改效率，对审计发现的问题逐一进行分析研判，要求审计期间能够整改的问题立行立改，对需要相关部门协同配合整改的问题强化组织协调、合理分工、共同推进，确保按期完成整改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是进一步建立健全审计整改长效机制。系统分析问题存在的深层次原因和矛盾，建立健全规范预算管理，强化惩戒和教育，健全审计整改体制机制，从源头上建立防范和杜绝“屡审屡犯”问题，达到标本兼治的目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165410"/>
    <w:rsid w:val="058D297A"/>
    <w:rsid w:val="1D042884"/>
    <w:rsid w:val="25B23231"/>
    <w:rsid w:val="32D15908"/>
    <w:rsid w:val="3317460E"/>
    <w:rsid w:val="359343DF"/>
    <w:rsid w:val="4716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2021-05-28T03:27:00Z</dcterms:created>
  <dc:creator>初尘</dc:creator>
  <cp:lastModifiedBy>初尘</cp:lastModifiedBy>
  <dcterms:modified xsi:type="dcterms:W3CDTF">2021-05-28T07:54:34Z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